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99275" w14:textId="7A9BAF0E" w:rsidR="00EC4555" w:rsidRDefault="00EC4555" w:rsidP="00DA7CA8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 SEGUIMIENTO – 00</w:t>
      </w:r>
      <w:r w:rsidR="00614BC1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 – SM/30-04-2026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1624E0D9" w14:textId="77777777" w:rsidTr="007276E4">
        <w:trPr>
          <w:trHeight w:val="286"/>
          <w:jc w:val="center"/>
        </w:trPr>
        <w:tc>
          <w:tcPr>
            <w:tcW w:w="2689" w:type="dxa"/>
            <w:vAlign w:val="center"/>
          </w:tcPr>
          <w:p w14:paraId="33647ABB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30C524E3" w14:textId="77777777" w:rsidR="00EC4555" w:rsidRPr="00EF45BD" w:rsidRDefault="00EC4555" w:rsidP="007276E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30-04-2026</w:t>
            </w:r>
          </w:p>
        </w:tc>
      </w:tr>
    </w:tbl>
    <w:p w14:paraId="1FD2AA25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27CF71A8" w14:textId="77777777" w:rsidTr="007276E4">
        <w:trPr>
          <w:trHeight w:val="1453"/>
          <w:jc w:val="center"/>
        </w:trPr>
        <w:tc>
          <w:tcPr>
            <w:tcW w:w="2689" w:type="dxa"/>
            <w:vAlign w:val="center"/>
          </w:tcPr>
          <w:p w14:paraId="6FD60197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0007E7E2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3FE880" wp14:editId="15C733B8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70F79B" w14:textId="77777777" w:rsidR="00EC4555" w:rsidRPr="0044015C" w:rsidRDefault="00EC4555" w:rsidP="00EC455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DF92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EC4555" w:rsidRPr="0044015C" w:rsidRDefault="00EC4555" w:rsidP="00EC45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17DCAF" wp14:editId="2C79D9F3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8A326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14:paraId="4A577D7A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197589E4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AB17D7" wp14:editId="13BE87C6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09F5C1" w14:textId="77777777" w:rsidR="00EC4555" w:rsidRPr="00CB5280" w:rsidRDefault="00EC4555" w:rsidP="00EC455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84B63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" fillcolor="white [3201]" strokeweight=".5pt">
                      <v:textbox>
                        <w:txbxContent>
                          <w:p w:rsidR="00EC4555" w:rsidRPr="00CB5280" w:rsidRDefault="00EC4555" w:rsidP="00EC45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6B634A" wp14:editId="25CCD5BE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FA1A84" w14:textId="77777777" w:rsidR="00EC4555" w:rsidRPr="00CB5280" w:rsidRDefault="00EC4555" w:rsidP="00EC455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285416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DGjAk7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EC4555" w:rsidRPr="00CB5280" w:rsidRDefault="00EC4555" w:rsidP="00EC45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37A567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6AD13562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3094EB" wp14:editId="68CDCC5E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712B7" w14:textId="77777777" w:rsidR="00EC4555" w:rsidRDefault="00EC4555" w:rsidP="00EC4555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BFF055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EC4555" w:rsidRDefault="00EC4555" w:rsidP="00EC4555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76F9F00D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Cual:</w:t>
            </w:r>
          </w:p>
          <w:p w14:paraId="6D7B21E0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5C48076E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246CD54C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5251F927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2DD0201D" w14:textId="77777777" w:rsidR="00EC4555" w:rsidRPr="00EF45BD" w:rsidRDefault="00A13073" w:rsidP="007276E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Socialización del Proyecto de Sala de Monitoreo del Viceminister</w:t>
            </w:r>
            <w:r w:rsidR="00DC68A8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i</w:t>
            </w: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o de Minas</w:t>
            </w:r>
          </w:p>
        </w:tc>
      </w:tr>
    </w:tbl>
    <w:p w14:paraId="7E3F9980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24517E77" w14:textId="77777777" w:rsidTr="007276E4">
        <w:trPr>
          <w:trHeight w:val="95"/>
          <w:jc w:val="center"/>
        </w:trPr>
        <w:tc>
          <w:tcPr>
            <w:tcW w:w="2689" w:type="dxa"/>
            <w:vAlign w:val="center"/>
          </w:tcPr>
          <w:p w14:paraId="68F0BBFC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76688F61" w14:textId="2E78944B" w:rsidR="00EC4555" w:rsidRPr="00EF45BD" w:rsidRDefault="009E1410" w:rsidP="007276E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PARQUES NACIONALES NATURALES</w:t>
            </w:r>
          </w:p>
        </w:tc>
      </w:tr>
    </w:tbl>
    <w:p w14:paraId="656D6961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281BB552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31709963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47B93B10" w14:textId="77777777" w:rsidR="00EC4555" w:rsidRPr="00EF45BD" w:rsidRDefault="00EC4555" w:rsidP="007276E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</w:t>
            </w:r>
            <w:r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-04-2026</w:t>
            </w:r>
          </w:p>
        </w:tc>
      </w:tr>
    </w:tbl>
    <w:p w14:paraId="4A07E2D4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207DF5E1" w14:textId="77777777" w:rsidTr="007276E4">
        <w:trPr>
          <w:jc w:val="center"/>
        </w:trPr>
        <w:tc>
          <w:tcPr>
            <w:tcW w:w="2689" w:type="dxa"/>
            <w:vAlign w:val="center"/>
          </w:tcPr>
          <w:p w14:paraId="2B95C944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Participantes por parte del MinEnergía</w:t>
            </w:r>
          </w:p>
        </w:tc>
        <w:tc>
          <w:tcPr>
            <w:tcW w:w="7087" w:type="dxa"/>
            <w:vAlign w:val="center"/>
          </w:tcPr>
          <w:p w14:paraId="2C56FEE9" w14:textId="68008171" w:rsidR="00EC4555" w:rsidRPr="00EF45BD" w:rsidRDefault="00EC4555" w:rsidP="007276E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Equipo Sala de Monitoreo Leticia</w:t>
            </w:r>
          </w:p>
        </w:tc>
      </w:tr>
    </w:tbl>
    <w:p w14:paraId="1B4E8C49" w14:textId="77777777" w:rsidR="00EC4555" w:rsidRPr="00EF45BD" w:rsidRDefault="00EC4555" w:rsidP="00EC455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669C0A19" w14:textId="77777777" w:rsidTr="008D586D">
        <w:trPr>
          <w:trHeight w:val="283"/>
          <w:jc w:val="center"/>
        </w:trPr>
        <w:tc>
          <w:tcPr>
            <w:tcW w:w="2689" w:type="dxa"/>
            <w:vAlign w:val="center"/>
          </w:tcPr>
          <w:p w14:paraId="2F68944D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5A0E2843" w14:textId="77777777" w:rsidR="00DC68A8" w:rsidRDefault="00DC68A8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2B6775" w14:textId="0F374256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Objetivo de la</w:t>
            </w:r>
            <w:r w:rsidR="002863C9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EC4555">
              <w:rPr>
                <w:rFonts w:ascii="Arial" w:hAnsi="Arial" w:cs="Arial"/>
                <w:sz w:val="20"/>
                <w:szCs w:val="20"/>
              </w:rPr>
              <w:t>reuni</w:t>
            </w:r>
            <w:r w:rsidR="002863C9">
              <w:rPr>
                <w:rFonts w:ascii="Arial" w:hAnsi="Arial" w:cs="Arial"/>
                <w:sz w:val="20"/>
                <w:szCs w:val="20"/>
              </w:rPr>
              <w:t>o</w:t>
            </w:r>
            <w:r w:rsidRPr="00EC4555">
              <w:rPr>
                <w:rFonts w:ascii="Arial" w:hAnsi="Arial" w:cs="Arial"/>
                <w:sz w:val="20"/>
                <w:szCs w:val="20"/>
              </w:rPr>
              <w:t>n</w:t>
            </w:r>
            <w:r w:rsidR="002863C9">
              <w:rPr>
                <w:rFonts w:ascii="Arial" w:hAnsi="Arial" w:cs="Arial"/>
                <w:sz w:val="20"/>
                <w:szCs w:val="20"/>
              </w:rPr>
              <w:t>es</w:t>
            </w:r>
          </w:p>
          <w:p w14:paraId="582CDA87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C863F4" w14:textId="2963EB09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 xml:space="preserve">Socializar </w:t>
            </w:r>
            <w:r w:rsidR="002863C9">
              <w:rPr>
                <w:rFonts w:ascii="Arial" w:hAnsi="Arial" w:cs="Arial"/>
                <w:sz w:val="20"/>
                <w:szCs w:val="20"/>
              </w:rPr>
              <w:t xml:space="preserve">con las diferentes autoridades departamentales </w:t>
            </w:r>
            <w:r w:rsidRPr="00EC4555">
              <w:rPr>
                <w:rFonts w:ascii="Arial" w:hAnsi="Arial" w:cs="Arial"/>
                <w:sz w:val="20"/>
                <w:szCs w:val="20"/>
              </w:rPr>
              <w:t>el alcance, objetivos, componentes y funcionamiento del proyecto de Sala de Monitoreo del Ministerio de Minas y Energía, así como generar un espacio de articulación interinstitucional para el fortalecimiento del análisis de los fenómenos asociados al aprovechamiento de minerales en la región amazónica.</w:t>
            </w:r>
          </w:p>
          <w:p w14:paraId="61AF6B98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BF8BE6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Desarrollo de la reunión</w:t>
            </w:r>
          </w:p>
          <w:p w14:paraId="4C66BCB0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618661" w14:textId="3E475853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La reunión inici</w:t>
            </w:r>
            <w:r w:rsidR="002863C9">
              <w:rPr>
                <w:rFonts w:ascii="Arial" w:hAnsi="Arial" w:cs="Arial"/>
                <w:sz w:val="20"/>
                <w:szCs w:val="20"/>
              </w:rPr>
              <w:t>a</w:t>
            </w:r>
            <w:r w:rsidRPr="00EC4555">
              <w:rPr>
                <w:rFonts w:ascii="Arial" w:hAnsi="Arial" w:cs="Arial"/>
                <w:sz w:val="20"/>
                <w:szCs w:val="20"/>
              </w:rPr>
              <w:t xml:space="preserve"> con la presentación de los participantes, quienes hacen parte de diferentes componentes del proyecto, incluyendo biodiversidad, socioecología, suelos y ecosistemas acuáticos, destacando un equipo interdisciplinario con presencia territorial en Leticia.</w:t>
            </w:r>
          </w:p>
          <w:p w14:paraId="646CF3EE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D6D03F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Posteriormente, se realizó la socialización del proyecto de Sala de Monitoreo, el cual se desarrolla en el marco del Ministerio de Minas y Energía y tiene como objetivo principal fortalecer la disponibilidad, acceso oportuno y calidad de la información relacionada con los fenómenos asociados al aprovechamiento de minerales, especialmente en la región amazónica.</w:t>
            </w:r>
          </w:p>
          <w:p w14:paraId="45FFD21C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2C521E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Se explicó que el proyecto tiene antecedentes desde el año 2015, iniciando con el monitoreo de oro e incorporando progresivamente otros minerales, reconociendo que las dinámicas extractivas varían significativamente entre los diferentes departamentos amazónicos (Amazonas, Caquetá, Putumayo y Guainía), lo cual exige enfoques diferenciados de análisis.</w:t>
            </w:r>
          </w:p>
          <w:p w14:paraId="7957097C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13C9EB" w14:textId="67699DAB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lastRenderedPageBreak/>
              <w:t>En cuanto a su estructura, se indicó que la Sala de Monitoreo se organiza en cuatro</w:t>
            </w:r>
            <w:r w:rsidR="00E83628">
              <w:rPr>
                <w:rFonts w:ascii="Arial" w:hAnsi="Arial" w:cs="Arial"/>
                <w:sz w:val="20"/>
                <w:szCs w:val="20"/>
              </w:rPr>
              <w:t xml:space="preserve"> (04)</w:t>
            </w:r>
            <w:r w:rsidRPr="00EC4555">
              <w:rPr>
                <w:rFonts w:ascii="Arial" w:hAnsi="Arial" w:cs="Arial"/>
                <w:sz w:val="20"/>
                <w:szCs w:val="20"/>
              </w:rPr>
              <w:t xml:space="preserve"> componentes principales: geología y suelos, biodiversidad, ecosistemas acuáticos y socioecología, cada uno con equipos técnicos tanto a nivel central como territorial, permitiendo una capacidad operativa fortalecida en campo.</w:t>
            </w:r>
          </w:p>
          <w:p w14:paraId="61360E1E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87541" w14:textId="1A5229CA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Se presentaron los tres</w:t>
            </w:r>
            <w:r w:rsidR="00E83628">
              <w:rPr>
                <w:rFonts w:ascii="Arial" w:hAnsi="Arial" w:cs="Arial"/>
                <w:sz w:val="20"/>
                <w:szCs w:val="20"/>
              </w:rPr>
              <w:t xml:space="preserve"> (03)</w:t>
            </w:r>
            <w:r w:rsidRPr="00EC4555">
              <w:rPr>
                <w:rFonts w:ascii="Arial" w:hAnsi="Arial" w:cs="Arial"/>
                <w:sz w:val="20"/>
                <w:szCs w:val="20"/>
              </w:rPr>
              <w:t xml:space="preserve"> objetivos específicos del proyecto:</w:t>
            </w:r>
          </w:p>
          <w:p w14:paraId="32472F15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E604D4" w14:textId="77777777" w:rsidR="00EC4555" w:rsidRPr="00E83628" w:rsidRDefault="00EC4555" w:rsidP="00E83628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3628">
              <w:rPr>
                <w:rFonts w:ascii="Arial" w:hAnsi="Arial" w:cs="Arial"/>
                <w:sz w:val="20"/>
                <w:szCs w:val="20"/>
              </w:rPr>
              <w:t>Fortalecer las capacidades técnicas de las entidades y actores involucrados.</w:t>
            </w:r>
          </w:p>
          <w:p w14:paraId="66542ECD" w14:textId="77777777" w:rsidR="00EC4555" w:rsidRPr="00E83628" w:rsidRDefault="00EC4555" w:rsidP="00E83628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3628">
              <w:rPr>
                <w:rFonts w:ascii="Arial" w:hAnsi="Arial" w:cs="Arial"/>
                <w:sz w:val="20"/>
                <w:szCs w:val="20"/>
              </w:rPr>
              <w:t>Promover la articulación institucional y el intercambio de información.</w:t>
            </w:r>
          </w:p>
          <w:p w14:paraId="46945CFE" w14:textId="77777777" w:rsidR="00EC4555" w:rsidRPr="00E83628" w:rsidRDefault="00EC4555" w:rsidP="00E83628">
            <w:pPr>
              <w:pStyle w:val="Prrafodelista"/>
              <w:numPr>
                <w:ilvl w:val="0"/>
                <w:numId w:val="3"/>
              </w:numPr>
              <w:ind w:left="31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3628">
              <w:rPr>
                <w:rFonts w:ascii="Arial" w:hAnsi="Arial" w:cs="Arial"/>
                <w:sz w:val="20"/>
                <w:szCs w:val="20"/>
              </w:rPr>
              <w:t>Desarrollar metodologías de monitoreo para el análisis de los fenómenos asociados.</w:t>
            </w:r>
          </w:p>
          <w:p w14:paraId="44C0530A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3E8D83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Asimismo, se describieron las principales líneas de acción, entre ellas:</w:t>
            </w:r>
          </w:p>
          <w:p w14:paraId="77C79D20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E3B9DA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Consolidación y gestión de información mediante plataformas tecnológicas.</w:t>
            </w:r>
          </w:p>
          <w:p w14:paraId="1E5DC952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Migración del visor geográfico a servidores institucionales para garantizar la gobernanza de datos.</w:t>
            </w:r>
          </w:p>
          <w:p w14:paraId="0F012290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Implementación de indicadores para el monitoreo de cambios en los fenómenos asociados.</w:t>
            </w:r>
          </w:p>
          <w:p w14:paraId="3997A4A3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Desarrollo de estrategias de divulgación y acceso público a la información.</w:t>
            </w:r>
          </w:p>
          <w:p w14:paraId="0993CF25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7E6E53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Se resaltó la importancia de generar información confiable y accesible para la toma de decisiones, así como la necesidad de fortalecer la articulación entre entidades, evitando la duplicidad de esfuerzos y mejorando la eficiencia en la gestión institucional.</w:t>
            </w:r>
          </w:p>
          <w:p w14:paraId="3B5B1C40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57A2A3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Adicionalmente, se destacó el enfoque socioecológico del proyecto, el cual busca integrar variables ambientales, sociales y culturales, reconociendo los impactos de la actividad minera en los territorios, incluyendo conflictos sociales, afectaciones ambientales y dinámicas comunitarias.</w:t>
            </w:r>
          </w:p>
          <w:p w14:paraId="0A070376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1C7AD7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En este sentido, se enfatizó la importancia de trabajar de manera conjunta con comunidades indígenas y actores locales, promoviendo espacios de diálogo de saberes y reconociendo su conocimiento tradicional como insumo clave para el monitoreo territorial.</w:t>
            </w:r>
          </w:p>
          <w:p w14:paraId="41A1740E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E10C7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También se abordaron los desafíos operativos del proyecto, especialmente en relación con las condiciones de seguridad y acceso a territorio, lo que en algunos casos limita el trabajo en campo y obliga a complementar la información con datos provenientes de otras entidades y aliados estratégicos.</w:t>
            </w:r>
          </w:p>
          <w:p w14:paraId="6D069E5F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F69AEC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Durante la discusión, los participantes resaltaron la necesidad de:</w:t>
            </w:r>
          </w:p>
          <w:p w14:paraId="5CA225AD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8C44CC" w14:textId="5E0A5CDF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Consolidar la información existente, actualmente dispersa entre diferentes entidades</w:t>
            </w:r>
            <w:r w:rsidR="008873D1">
              <w:rPr>
                <w:rFonts w:ascii="Arial" w:hAnsi="Arial" w:cs="Arial"/>
                <w:sz w:val="20"/>
                <w:szCs w:val="20"/>
              </w:rPr>
              <w:t xml:space="preserve"> y sobre todo en el tema de minería ilegal en el departamento</w:t>
            </w:r>
            <w:r w:rsidRPr="00EC455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3835FA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Definir estrategias claras para la divulgación de información sensible, especialmente relacionada con impactos por mercurio.</w:t>
            </w:r>
          </w:p>
          <w:p w14:paraId="527B98ED" w14:textId="77777777" w:rsid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Fortalecer la participación efectiva de comunidades indígenas, garantizando condiciones logísticas adecuadas para su vinculación.</w:t>
            </w:r>
          </w:p>
          <w:p w14:paraId="6AA6A585" w14:textId="77777777" w:rsidR="00DC68A8" w:rsidRPr="00EC4555" w:rsidRDefault="00DC68A8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28CEF6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lastRenderedPageBreak/>
              <w:t>Conocer con mayor detalle los alcances de los convenios con organizaciones indígenas y entidades internacionales.</w:t>
            </w:r>
          </w:p>
          <w:p w14:paraId="36987F92" w14:textId="77777777" w:rsidR="00EC4555" w:rsidRP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62D377" w14:textId="77777777" w:rsidR="00EC4555" w:rsidRDefault="00EC4555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Finalmente, se reiteró la importancia de la articulación interinstitucional como base para la toma de decisiones informadas y la implementación de acciones efectivas frente a las problemáticas asociadas a la actividad minera en la Amazonía.</w:t>
            </w:r>
          </w:p>
          <w:p w14:paraId="1676CCD0" w14:textId="77777777" w:rsidR="00DC68A8" w:rsidRPr="00EF45BD" w:rsidRDefault="00DC68A8" w:rsidP="008D5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555" w:rsidRPr="00EF45BD" w14:paraId="31DE7DC4" w14:textId="77777777" w:rsidTr="008D586D">
        <w:trPr>
          <w:trHeight w:val="211"/>
          <w:jc w:val="center"/>
        </w:trPr>
        <w:tc>
          <w:tcPr>
            <w:tcW w:w="2689" w:type="dxa"/>
            <w:vAlign w:val="center"/>
          </w:tcPr>
          <w:p w14:paraId="0B3C4650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14:paraId="22622DC0" w14:textId="77777777" w:rsidR="00DC68A8" w:rsidRDefault="00DC68A8" w:rsidP="00EC45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81EB8E" w14:textId="77777777" w:rsidR="00EC4555" w:rsidRDefault="00EC4555" w:rsidP="00EC4555">
            <w:pPr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Conclusiones</w:t>
            </w:r>
          </w:p>
          <w:p w14:paraId="32366108" w14:textId="77777777" w:rsidR="00EC4555" w:rsidRPr="00EC4555" w:rsidRDefault="00EC4555" w:rsidP="00EC45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353D74" w14:textId="77777777" w:rsidR="00EC4555" w:rsidRPr="008358D9" w:rsidRDefault="00EC4555" w:rsidP="008358D9">
            <w:pPr>
              <w:pStyle w:val="Prrafodelista"/>
              <w:numPr>
                <w:ilvl w:val="0"/>
                <w:numId w:val="4"/>
              </w:numPr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El proyecto de Sala de Monitoreo constituye una herramienta estratégica para la gestión de información sobre fenómenos asociados al aprovechamiento de minerales.</w:t>
            </w:r>
          </w:p>
          <w:p w14:paraId="74838B44" w14:textId="77777777" w:rsidR="00EC4555" w:rsidRPr="008358D9" w:rsidRDefault="00EC4555" w:rsidP="008358D9">
            <w:pPr>
              <w:pStyle w:val="Prrafodelista"/>
              <w:numPr>
                <w:ilvl w:val="0"/>
                <w:numId w:val="4"/>
              </w:numPr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Existe una necesidad prioritaria de fortalecer la articulación interinstitucional y evitar la duplicidad de esfuerzos.</w:t>
            </w:r>
          </w:p>
          <w:p w14:paraId="7582A0EB" w14:textId="77777777" w:rsidR="00EC4555" w:rsidRPr="008358D9" w:rsidRDefault="00EC4555" w:rsidP="008358D9">
            <w:pPr>
              <w:pStyle w:val="Prrafodelista"/>
              <w:numPr>
                <w:ilvl w:val="0"/>
                <w:numId w:val="4"/>
              </w:numPr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La información disponible se encuentra dispersa, lo que limita su uso efectivo en la toma de decisiones.</w:t>
            </w:r>
          </w:p>
          <w:p w14:paraId="2F6442E5" w14:textId="77777777" w:rsidR="00EC4555" w:rsidRPr="008358D9" w:rsidRDefault="00EC4555" w:rsidP="008358D9">
            <w:pPr>
              <w:pStyle w:val="Prrafodelista"/>
              <w:numPr>
                <w:ilvl w:val="0"/>
                <w:numId w:val="4"/>
              </w:numPr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Es fundamental integrar el enfoque socioecológico, incluyendo la participación de comunidades indígenas y actores locales.</w:t>
            </w:r>
          </w:p>
          <w:p w14:paraId="346717D8" w14:textId="77777777" w:rsidR="00EC4555" w:rsidRPr="008358D9" w:rsidRDefault="00EC4555" w:rsidP="008358D9">
            <w:pPr>
              <w:pStyle w:val="Prrafodelista"/>
              <w:numPr>
                <w:ilvl w:val="0"/>
                <w:numId w:val="4"/>
              </w:numPr>
              <w:ind w:left="45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La divulgación de información debe realizarse de manera responsable, especialmente en temas sensibles como la contaminación por mercurio.</w:t>
            </w:r>
          </w:p>
          <w:p w14:paraId="720A8C56" w14:textId="77777777" w:rsidR="00EC4555" w:rsidRDefault="00EC4555" w:rsidP="00EC45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B6BB67" w14:textId="77777777" w:rsidR="00EC4555" w:rsidRDefault="00EC4555" w:rsidP="00EC4555">
            <w:pPr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Compromisos</w:t>
            </w:r>
          </w:p>
          <w:p w14:paraId="12401126" w14:textId="77777777" w:rsidR="00EC4555" w:rsidRPr="00EC4555" w:rsidRDefault="00EC4555" w:rsidP="00EC45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DE9128" w14:textId="77777777" w:rsidR="00EC4555" w:rsidRPr="008358D9" w:rsidRDefault="00EC4555" w:rsidP="008358D9">
            <w:pPr>
              <w:pStyle w:val="Prrafodelista"/>
              <w:numPr>
                <w:ilvl w:val="0"/>
                <w:numId w:val="5"/>
              </w:numPr>
              <w:ind w:left="455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Socializar de manera más detallada los roles y funciones de los monitores territoriales.</w:t>
            </w:r>
          </w:p>
          <w:p w14:paraId="7B7387C4" w14:textId="77777777" w:rsidR="00EC4555" w:rsidRPr="008358D9" w:rsidRDefault="00EC4555" w:rsidP="008358D9">
            <w:pPr>
              <w:pStyle w:val="Prrafodelista"/>
              <w:numPr>
                <w:ilvl w:val="0"/>
                <w:numId w:val="5"/>
              </w:numPr>
              <w:ind w:left="455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Fortalecer los mecanismos de intercambio de información entre entidades.</w:t>
            </w:r>
          </w:p>
          <w:p w14:paraId="1A2C5B0C" w14:textId="77777777" w:rsidR="00EC4555" w:rsidRPr="008358D9" w:rsidRDefault="00EC4555" w:rsidP="008358D9">
            <w:pPr>
              <w:pStyle w:val="Prrafodelista"/>
              <w:numPr>
                <w:ilvl w:val="0"/>
                <w:numId w:val="5"/>
              </w:numPr>
              <w:ind w:left="455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Definir lineamientos para la divulgación de información al público.</w:t>
            </w:r>
          </w:p>
          <w:p w14:paraId="32ADA41E" w14:textId="77777777" w:rsidR="00EC4555" w:rsidRPr="008358D9" w:rsidRDefault="00EC4555" w:rsidP="008358D9">
            <w:pPr>
              <w:pStyle w:val="Prrafodelista"/>
              <w:numPr>
                <w:ilvl w:val="0"/>
                <w:numId w:val="5"/>
              </w:numPr>
              <w:ind w:left="455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Revisar y socializar los alcances de los convenios con organizaciones indígenas.</w:t>
            </w:r>
          </w:p>
          <w:p w14:paraId="4A7DD4AF" w14:textId="77777777" w:rsidR="00EC4555" w:rsidRPr="008358D9" w:rsidRDefault="00EC4555" w:rsidP="008358D9">
            <w:pPr>
              <w:pStyle w:val="Prrafodelista"/>
              <w:numPr>
                <w:ilvl w:val="0"/>
                <w:numId w:val="5"/>
              </w:numPr>
              <w:ind w:left="455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58D9">
              <w:rPr>
                <w:rFonts w:ascii="Arial" w:hAnsi="Arial" w:cs="Arial"/>
                <w:sz w:val="20"/>
                <w:szCs w:val="20"/>
              </w:rPr>
              <w:t>Evaluar estrategias para garantizar la participación efectiva de comunidades indígenas en los espacios del comité.</w:t>
            </w:r>
          </w:p>
          <w:p w14:paraId="188E9B0A" w14:textId="77777777" w:rsidR="008358D9" w:rsidRPr="00EC4555" w:rsidRDefault="008358D9" w:rsidP="00EC4555">
            <w:pPr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</w:tc>
      </w:tr>
      <w:tr w:rsidR="00EC4555" w:rsidRPr="00EF45BD" w14:paraId="13C3D06E" w14:textId="77777777" w:rsidTr="008D586D">
        <w:trPr>
          <w:trHeight w:val="283"/>
          <w:jc w:val="center"/>
        </w:trPr>
        <w:tc>
          <w:tcPr>
            <w:tcW w:w="2689" w:type="dxa"/>
            <w:vAlign w:val="center"/>
          </w:tcPr>
          <w:p w14:paraId="3F8B8558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Fotos del Evento</w:t>
            </w:r>
          </w:p>
        </w:tc>
        <w:tc>
          <w:tcPr>
            <w:tcW w:w="7087" w:type="dxa"/>
            <w:vAlign w:val="center"/>
          </w:tcPr>
          <w:p w14:paraId="67058AAF" w14:textId="77777777" w:rsidR="009E1410" w:rsidRDefault="009E1410" w:rsidP="009E1410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PARQUES NACIONALES NATURALES</w:t>
            </w:r>
          </w:p>
          <w:p w14:paraId="4E650028" w14:textId="4D61030E" w:rsidR="009E1410" w:rsidRPr="00EF45BD" w:rsidRDefault="009E1410" w:rsidP="008358D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val="es-ES" w:eastAsia="es-CO"/>
              </w:rPr>
              <w:drawing>
                <wp:inline distT="0" distB="0" distL="0" distR="0" wp14:anchorId="0A6A0BCF" wp14:editId="39DFFB82">
                  <wp:extent cx="3327400" cy="2052637"/>
                  <wp:effectExtent l="0" t="0" r="6350" b="508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730" cy="2060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555" w:rsidRPr="00EF45BD" w14:paraId="047E5C28" w14:textId="77777777" w:rsidTr="008D586D">
        <w:trPr>
          <w:trHeight w:val="283"/>
          <w:jc w:val="center"/>
        </w:trPr>
        <w:tc>
          <w:tcPr>
            <w:tcW w:w="2689" w:type="dxa"/>
            <w:vAlign w:val="center"/>
          </w:tcPr>
          <w:p w14:paraId="5A1FD3E4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1210BA0E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26BE77F7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14:paraId="3E55D99A" w14:textId="77777777" w:rsidR="00DC68A8" w:rsidRDefault="00DC68A8" w:rsidP="007276E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4E0F291C" wp14:editId="419792D0">
                  <wp:extent cx="4104292" cy="2571750"/>
                  <wp:effectExtent l="0" t="0" r="0" b="0"/>
                  <wp:docPr id="10" name="Imagen 10" descr="C:\Users\YESMYN CARRILLO\Downloads\ASISTENCIA PARQUES NACIONALES 30-04-20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YESMYN CARRILLO\Downloads\ASISTENCIA PARQUES NACIONALES 30-04-202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959" cy="2590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89B8AA" w14:textId="77777777" w:rsidR="00EC4555" w:rsidRPr="00EF45BD" w:rsidRDefault="00EC4555" w:rsidP="007276E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14:paraId="4F33B42C" w14:textId="6276DC8F" w:rsidR="00EC4555" w:rsidRPr="00EF45BD" w:rsidRDefault="00BE050A" w:rsidP="00EC455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drawing>
          <wp:anchor distT="0" distB="0" distL="114300" distR="114300" simplePos="0" relativeHeight="251664384" behindDoc="1" locked="0" layoutInCell="1" allowOverlap="1" wp14:anchorId="4928A4C3" wp14:editId="0C6F75AA">
            <wp:simplePos x="0" y="0"/>
            <wp:positionH relativeFrom="column">
              <wp:posOffset>748348</wp:posOffset>
            </wp:positionH>
            <wp:positionV relativeFrom="paragraph">
              <wp:posOffset>27305</wp:posOffset>
            </wp:positionV>
            <wp:extent cx="938212" cy="809337"/>
            <wp:effectExtent l="0" t="0" r="0" b="0"/>
            <wp:wrapNone/>
            <wp:docPr id="180074095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740956" name="Imagen 180074095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8212" cy="8093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4555" w:rsidRPr="00EF45BD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</w:t>
      </w:r>
    </w:p>
    <w:p w14:paraId="0D93E1AA" w14:textId="0F7830E4" w:rsidR="00EC4555" w:rsidRPr="00EF45BD" w:rsidRDefault="00EC4555" w:rsidP="00EC455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EF45BD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  </w:t>
      </w:r>
      <w:r w:rsidRPr="00EF45BD">
        <w:rPr>
          <w:rFonts w:ascii="Arial" w:hAnsi="Arial" w:cs="Arial"/>
          <w:noProof/>
          <w:sz w:val="20"/>
          <w:szCs w:val="20"/>
          <w:lang w:eastAsia="es-CO"/>
        </w:rPr>
        <w:t xml:space="preserve">   </w:t>
      </w:r>
    </w:p>
    <w:p w14:paraId="308D800D" w14:textId="39677720" w:rsidR="00753FE1" w:rsidRDefault="009E1410" w:rsidP="00753FE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          </w:t>
      </w:r>
      <w:r w:rsidR="00753FE1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</w:t>
      </w:r>
      <w:r w:rsidR="00753FE1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</w:r>
      <w:r w:rsidR="00753FE1"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  <w:t xml:space="preserve">             </w:t>
      </w:r>
    </w:p>
    <w:p w14:paraId="3F764871" w14:textId="4B7D4C90" w:rsidR="00753FE1" w:rsidRDefault="00753FE1" w:rsidP="00753FE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________________________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</w:t>
      </w:r>
    </w:p>
    <w:p w14:paraId="37C5E919" w14:textId="5B9D9E51" w:rsidR="00753FE1" w:rsidRDefault="00753FE1" w:rsidP="00753FE1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3E8C39F3" w14:textId="1CBE4886" w:rsidR="00753FE1" w:rsidRDefault="00753FE1" w:rsidP="00753FE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r w:rsidR="00587C62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Luis Fernando Cueva Torres</w:t>
      </w:r>
    </w:p>
    <w:p w14:paraId="2497FF43" w14:textId="20907F78" w:rsidR="00753FE1" w:rsidRDefault="00753FE1" w:rsidP="00753FE1">
      <w:p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</w:t>
      </w:r>
      <w:r w:rsidRPr="0E74810A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ala de monitoreo – Viceministerio de Minas</w:t>
      </w:r>
    </w:p>
    <w:p w14:paraId="5445A09C" w14:textId="76287AF6" w:rsidR="00EC4555" w:rsidRPr="009E1410" w:rsidRDefault="00EC4555" w:rsidP="00753FE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2F5EC9" w14:textId="77777777" w:rsidR="00EC4555" w:rsidRDefault="00EC4555" w:rsidP="00EC4555"/>
    <w:p w14:paraId="4A53FDE4" w14:textId="77777777" w:rsidR="00E5582E" w:rsidRDefault="00E5582E"/>
    <w:sectPr w:rsidR="00E5582E" w:rsidSect="001842E1">
      <w:headerReference w:type="default" r:id="rId13"/>
      <w:footerReference w:type="default" r:id="rId14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C4FE1" w14:textId="77777777" w:rsidR="00714926" w:rsidRDefault="00714926">
      <w:pPr>
        <w:spacing w:after="0" w:line="240" w:lineRule="auto"/>
      </w:pPr>
      <w:r>
        <w:separator/>
      </w:r>
    </w:p>
  </w:endnote>
  <w:endnote w:type="continuationSeparator" w:id="0">
    <w:p w14:paraId="1E86928A" w14:textId="77777777" w:rsidR="00714926" w:rsidRDefault="00714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18E52" w14:textId="77777777" w:rsidR="00BD2565" w:rsidRDefault="00DC68A8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9FA4AD4" wp14:editId="32156283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E1944" w14:textId="77777777" w:rsidR="00714926" w:rsidRDefault="00714926">
      <w:pPr>
        <w:spacing w:after="0" w:line="240" w:lineRule="auto"/>
      </w:pPr>
      <w:r>
        <w:separator/>
      </w:r>
    </w:p>
  </w:footnote>
  <w:footnote w:type="continuationSeparator" w:id="0">
    <w:p w14:paraId="6D17CF82" w14:textId="77777777" w:rsidR="00714926" w:rsidRDefault="00714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27D10" w14:textId="77777777" w:rsidR="00BD2565" w:rsidRDefault="00DC68A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37A445" wp14:editId="20A5F6D0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171BD"/>
    <w:multiLevelType w:val="hybridMultilevel"/>
    <w:tmpl w:val="6FC688D8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F51EB"/>
    <w:multiLevelType w:val="hybridMultilevel"/>
    <w:tmpl w:val="F7A066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15DF3"/>
    <w:multiLevelType w:val="hybridMultilevel"/>
    <w:tmpl w:val="EC147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97B5A"/>
    <w:multiLevelType w:val="hybridMultilevel"/>
    <w:tmpl w:val="11845F0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F534D6"/>
    <w:multiLevelType w:val="hybridMultilevel"/>
    <w:tmpl w:val="7AE047D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311257">
    <w:abstractNumId w:val="2"/>
  </w:num>
  <w:num w:numId="2" w16cid:durableId="669599828">
    <w:abstractNumId w:val="1"/>
  </w:num>
  <w:num w:numId="3" w16cid:durableId="1965497885">
    <w:abstractNumId w:val="0"/>
  </w:num>
  <w:num w:numId="4" w16cid:durableId="1085033311">
    <w:abstractNumId w:val="4"/>
  </w:num>
  <w:num w:numId="5" w16cid:durableId="1892762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555"/>
    <w:rsid w:val="00112899"/>
    <w:rsid w:val="00162176"/>
    <w:rsid w:val="0021326E"/>
    <w:rsid w:val="00217A65"/>
    <w:rsid w:val="002863C9"/>
    <w:rsid w:val="003C30A7"/>
    <w:rsid w:val="0055044F"/>
    <w:rsid w:val="00587C62"/>
    <w:rsid w:val="005D4D7A"/>
    <w:rsid w:val="00614BC1"/>
    <w:rsid w:val="00714926"/>
    <w:rsid w:val="007522A6"/>
    <w:rsid w:val="00753FE1"/>
    <w:rsid w:val="008358D9"/>
    <w:rsid w:val="008873D1"/>
    <w:rsid w:val="008D586D"/>
    <w:rsid w:val="00953CE8"/>
    <w:rsid w:val="0096570A"/>
    <w:rsid w:val="009E1410"/>
    <w:rsid w:val="00A13073"/>
    <w:rsid w:val="00BD2565"/>
    <w:rsid w:val="00BE050A"/>
    <w:rsid w:val="00CE41A8"/>
    <w:rsid w:val="00DA7CA8"/>
    <w:rsid w:val="00DB3D20"/>
    <w:rsid w:val="00DC68A8"/>
    <w:rsid w:val="00E076F4"/>
    <w:rsid w:val="00E5582E"/>
    <w:rsid w:val="00E83628"/>
    <w:rsid w:val="00EC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E7CB6F"/>
  <w15:chartTrackingRefBased/>
  <w15:docId w15:val="{5F7D8B8C-491B-4E3D-BBA7-B5B65821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5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45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4555"/>
  </w:style>
  <w:style w:type="paragraph" w:styleId="Piedepgina">
    <w:name w:val="footer"/>
    <w:basedOn w:val="Normal"/>
    <w:link w:val="PiedepginaCar"/>
    <w:uiPriority w:val="99"/>
    <w:unhideWhenUsed/>
    <w:rsid w:val="00EC45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555"/>
  </w:style>
  <w:style w:type="table" w:styleId="Tablaconcuadrcula">
    <w:name w:val="Table Grid"/>
    <w:basedOn w:val="Tablanormal"/>
    <w:uiPriority w:val="39"/>
    <w:rsid w:val="00E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C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EC4555"/>
    <w:pPr>
      <w:ind w:left="720"/>
      <w:contextualSpacing/>
    </w:pPr>
  </w:style>
  <w:style w:type="character" w:customStyle="1" w:styleId="wacimagecontainer">
    <w:name w:val="wacimagecontainer"/>
    <w:basedOn w:val="Fuentedeprrafopredeter"/>
    <w:rsid w:val="00753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3A134F-9402-4D6A-8BB1-172B1DD07DFD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customXml/itemProps2.xml><?xml version="1.0" encoding="utf-8"?>
<ds:datastoreItem xmlns:ds="http://schemas.openxmlformats.org/officeDocument/2006/customXml" ds:itemID="{A0000939-46C6-408C-8F6F-60C04670F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8AF5D-0F51-40EC-B0B7-570A39E3F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4</Pages>
  <Words>979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ASUS</cp:lastModifiedBy>
  <cp:revision>14</cp:revision>
  <dcterms:created xsi:type="dcterms:W3CDTF">2026-04-30T20:11:00Z</dcterms:created>
  <dcterms:modified xsi:type="dcterms:W3CDTF">2026-07-21T14:47:00Z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